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Agenda spotkania koordynacyjnego</w:t>
      </w:r>
    </w:p>
    <w:p>
      <w:r>
        <w:rPr>
          <w:color w:val="595959"/>
          <w:sz w:val="20"/>
        </w:rPr>
        <w:t>Spotkanie trwa 60 minut. Wypełnij pola nagłówka przed spotkaniem, a godziny bloków dopasuj do godziny startu. Jeden blok, jedno zadanie.</w:t>
      </w:r>
    </w:p>
    <w:p>
      <w:pPr>
        <w:pStyle w:val="Heading2"/>
      </w:pPr>
      <w:r>
        <w:t>Dane spotkania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2551"/>
        <w:gridCol w:w="7313"/>
      </w:tblGrid>
      <w:tr>
        <w:trPr>
          <w:tblHeader w:val="true"/>
        </w:trPr>
        <w:tc>
          <w:tcPr>
            <w:tcW w:type="dxa" w:w="2551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Pole</w:t>
            </w:r>
          </w:p>
        </w:tc>
        <w:tc>
          <w:tcPr>
            <w:tcW w:type="dxa" w:w="7313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Wartość</w:t>
            </w:r>
          </w:p>
        </w:tc>
      </w:tr>
      <w:tr>
        <w:trPr>
          <w:trHeight w:val="340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Projekt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Data i godzina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Prowadzący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Notujący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Model i rewizja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Uczestnicy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Przebieg spotkania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907"/>
        <w:gridCol w:w="1587"/>
        <w:gridCol w:w="4308"/>
        <w:gridCol w:w="3061"/>
      </w:tblGrid>
      <w:tr>
        <w:trPr>
          <w:tblHeader w:val="true"/>
        </w:trPr>
        <w:tc>
          <w:tcPr>
            <w:tcW w:type="dxa" w:w="907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Czas</w:t>
            </w:r>
          </w:p>
        </w:tc>
        <w:tc>
          <w:tcPr>
            <w:tcW w:type="dxa" w:w="1587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Blok</w:t>
            </w:r>
          </w:p>
        </w:tc>
        <w:tc>
          <w:tcPr>
            <w:tcW w:type="dxa" w:w="4309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Co robimy</w:t>
            </w:r>
          </w:p>
        </w:tc>
        <w:tc>
          <w:tcPr>
            <w:tcW w:type="dxa" w:w="3061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Efekt na koniec bloku</w:t>
            </w:r>
          </w:p>
        </w:tc>
      </w:tr>
      <w:tr>
        <w:tc>
          <w:tcPr>
            <w:tcW w:type="dxa" w:w="907"/>
            <w:vAlign w:val="center"/>
          </w:tcPr>
          <w:p>
            <w:r/>
            <w:r>
              <w:rPr>
                <w:sz w:val="19"/>
              </w:rPr>
              <w:t>0-5</w:t>
            </w:r>
          </w:p>
        </w:tc>
        <w:tc>
          <w:tcPr>
            <w:tcW w:type="dxa" w:w="1587"/>
            <w:vAlign w:val="center"/>
          </w:tcPr>
          <w:p>
            <w:r/>
            <w:r>
              <w:rPr>
                <w:sz w:val="19"/>
              </w:rPr>
              <w:t>Otwarcie</w:t>
            </w:r>
          </w:p>
        </w:tc>
        <w:tc>
          <w:tcPr>
            <w:tcW w:type="dxa" w:w="4309"/>
            <w:vAlign w:val="center"/>
          </w:tcPr>
          <w:p>
            <w:r/>
            <w:r>
              <w:rPr>
                <w:sz w:val="19"/>
              </w:rPr>
              <w:t>Cel spotkania, lista obecnych, model i rewizja na ekranie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sz w:val="19"/>
              </w:rPr>
              <w:t>Wszyscy patrzą na tę samą wersję modelu</w:t>
            </w:r>
          </w:p>
        </w:tc>
      </w:tr>
      <w:tr>
        <w:tc>
          <w:tcPr>
            <w:tcW w:type="dxa" w:w="907"/>
            <w:vAlign w:val="center"/>
          </w:tcPr>
          <w:p>
            <w:r/>
            <w:r>
              <w:rPr>
                <w:sz w:val="19"/>
              </w:rPr>
              <w:t>5-15</w:t>
            </w:r>
          </w:p>
        </w:tc>
        <w:tc>
          <w:tcPr>
            <w:tcW w:type="dxa" w:w="1587"/>
            <w:vAlign w:val="center"/>
          </w:tcPr>
          <w:p>
            <w:r/>
            <w:r>
              <w:rPr>
                <w:sz w:val="19"/>
              </w:rPr>
              <w:t>Przegląd modelu</w:t>
            </w:r>
          </w:p>
        </w:tc>
        <w:tc>
          <w:tcPr>
            <w:tcW w:type="dxa" w:w="4309"/>
            <w:vAlign w:val="center"/>
          </w:tcPr>
          <w:p>
            <w:r/>
            <w:r>
              <w:rPr>
                <w:sz w:val="19"/>
              </w:rPr>
              <w:t>Co się zmieniło od ostatniego spotkania, nowe rewizje, zmiany w zakresie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sz w:val="19"/>
              </w:rPr>
              <w:t>Lista zmian do sprawdzenia</w:t>
            </w:r>
          </w:p>
        </w:tc>
      </w:tr>
      <w:tr>
        <w:tc>
          <w:tcPr>
            <w:tcW w:type="dxa" w:w="907"/>
            <w:vAlign w:val="center"/>
          </w:tcPr>
          <w:p>
            <w:r/>
            <w:r>
              <w:rPr>
                <w:sz w:val="19"/>
              </w:rPr>
              <w:t>15-30</w:t>
            </w:r>
          </w:p>
        </w:tc>
        <w:tc>
          <w:tcPr>
            <w:tcW w:type="dxa" w:w="1587"/>
            <w:vAlign w:val="center"/>
          </w:tcPr>
          <w:p>
            <w:r/>
            <w:r>
              <w:rPr>
                <w:sz w:val="19"/>
              </w:rPr>
              <w:t>Kolizje krytyczne</w:t>
            </w:r>
          </w:p>
        </w:tc>
        <w:tc>
          <w:tcPr>
            <w:tcW w:type="dxa" w:w="4309"/>
            <w:vAlign w:val="center"/>
          </w:tcPr>
          <w:p>
            <w:r/>
            <w:r>
              <w:rPr>
                <w:sz w:val="19"/>
              </w:rPr>
              <w:t>Otwarte kolizje o priorytecie 1 i 2, sortowanie po strefie i fachu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sz w:val="19"/>
              </w:rPr>
              <w:t>Każda kolizja ma właściciela i termin</w:t>
            </w:r>
          </w:p>
        </w:tc>
      </w:tr>
      <w:tr>
        <w:tc>
          <w:tcPr>
            <w:tcW w:type="dxa" w:w="907"/>
            <w:vAlign w:val="center"/>
          </w:tcPr>
          <w:p>
            <w:r/>
            <w:r>
              <w:rPr>
                <w:sz w:val="19"/>
              </w:rPr>
              <w:t>30-38</w:t>
            </w:r>
          </w:p>
        </w:tc>
        <w:tc>
          <w:tcPr>
            <w:tcW w:type="dxa" w:w="1587"/>
            <w:vAlign w:val="center"/>
          </w:tcPr>
          <w:p>
            <w:r/>
            <w:r>
              <w:rPr>
                <w:sz w:val="19"/>
              </w:rPr>
              <w:t>RFI</w:t>
            </w:r>
          </w:p>
        </w:tc>
        <w:tc>
          <w:tcPr>
            <w:tcW w:type="dxa" w:w="4309"/>
            <w:vAlign w:val="center"/>
          </w:tcPr>
          <w:p>
            <w:r/>
            <w:r>
              <w:rPr>
                <w:sz w:val="19"/>
              </w:rPr>
              <w:t>Otwarte zapytania, odpowiedzi, które przyszły, terminy odpowiedzi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sz w:val="19"/>
              </w:rPr>
              <w:t>Zamknięte RFI i nowe zapytania z terminem</w:t>
            </w:r>
          </w:p>
        </w:tc>
      </w:tr>
      <w:tr>
        <w:tc>
          <w:tcPr>
            <w:tcW w:type="dxa" w:w="907"/>
            <w:vAlign w:val="center"/>
          </w:tcPr>
          <w:p>
            <w:r/>
            <w:r>
              <w:rPr>
                <w:sz w:val="19"/>
              </w:rPr>
              <w:t>38-50</w:t>
            </w:r>
          </w:p>
        </w:tc>
        <w:tc>
          <w:tcPr>
            <w:tcW w:type="dxa" w:w="1587"/>
            <w:vAlign w:val="center"/>
          </w:tcPr>
          <w:p>
            <w:r/>
            <w:r>
              <w:rPr>
                <w:sz w:val="19"/>
              </w:rPr>
              <w:t>Decyzje</w:t>
            </w:r>
          </w:p>
        </w:tc>
        <w:tc>
          <w:tcPr>
            <w:tcW w:type="dxa" w:w="4309"/>
            <w:vAlign w:val="center"/>
          </w:tcPr>
          <w:p>
            <w:r/>
            <w:r>
              <w:rPr>
                <w:sz w:val="19"/>
              </w:rPr>
              <w:t>Punkty wymagające decyzji, warianty, osoba decydująca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sz w:val="19"/>
              </w:rPr>
              <w:t>Decyzje zapisane z numerem</w:t>
            </w:r>
          </w:p>
        </w:tc>
      </w:tr>
      <w:tr>
        <w:tc>
          <w:tcPr>
            <w:tcW w:type="dxa" w:w="907"/>
            <w:vAlign w:val="center"/>
          </w:tcPr>
          <w:p>
            <w:r/>
            <w:r>
              <w:rPr>
                <w:sz w:val="19"/>
              </w:rPr>
              <w:t>50-57</w:t>
            </w:r>
          </w:p>
        </w:tc>
        <w:tc>
          <w:tcPr>
            <w:tcW w:type="dxa" w:w="1587"/>
            <w:vAlign w:val="center"/>
          </w:tcPr>
          <w:p>
            <w:r/>
            <w:r>
              <w:rPr>
                <w:sz w:val="19"/>
              </w:rPr>
              <w:t>Działania i terminy</w:t>
            </w:r>
          </w:p>
        </w:tc>
        <w:tc>
          <w:tcPr>
            <w:tcW w:type="dxa" w:w="4309"/>
            <w:vAlign w:val="center"/>
          </w:tcPr>
          <w:p>
            <w:r/>
            <w:r>
              <w:rPr>
                <w:sz w:val="19"/>
              </w:rPr>
              <w:t>Co wynika z decyzji, kto robi, do kiedy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sz w:val="19"/>
              </w:rPr>
              <w:t>Lista działań z odpowiedzialnymi</w:t>
            </w:r>
          </w:p>
        </w:tc>
      </w:tr>
      <w:tr>
        <w:tc>
          <w:tcPr>
            <w:tcW w:type="dxa" w:w="907"/>
            <w:vAlign w:val="center"/>
          </w:tcPr>
          <w:p>
            <w:r/>
            <w:r>
              <w:rPr>
                <w:sz w:val="19"/>
              </w:rPr>
              <w:t>57-60</w:t>
            </w:r>
          </w:p>
        </w:tc>
        <w:tc>
          <w:tcPr>
            <w:tcW w:type="dxa" w:w="1587"/>
            <w:vAlign w:val="center"/>
          </w:tcPr>
          <w:p>
            <w:r/>
            <w:r>
              <w:rPr>
                <w:sz w:val="19"/>
              </w:rPr>
              <w:t>Zamknięcie</w:t>
            </w:r>
          </w:p>
        </w:tc>
        <w:tc>
          <w:tcPr>
            <w:tcW w:type="dxa" w:w="4309"/>
            <w:vAlign w:val="center"/>
          </w:tcPr>
          <w:p>
            <w:r/>
            <w:r>
              <w:rPr>
                <w:sz w:val="19"/>
              </w:rPr>
              <w:t>Odczytanie decyzji i działań na głos, potwierdzenie przez uczestników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sz w:val="19"/>
              </w:rPr>
              <w:t>Wspólny zapis, bez niedomówień</w:t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Zasady prowadzenia</w:t>
      </w:r>
    </w:p>
    <w:p>
      <w:pPr>
        <w:pStyle w:val="ListBullet"/>
        <w:spacing w:after="40"/>
      </w:pPr>
      <w:r>
        <w:t>Prowadzący pilnuje czasu, notujący zapisuje. Nikt nie robi obu rzeczy naraz.</w:t>
      </w:r>
    </w:p>
    <w:p>
      <w:pPr>
        <w:pStyle w:val="ListBullet"/>
        <w:spacing w:after="40"/>
      </w:pPr>
      <w:r>
        <w:t>Każdy punkt kończy się zdaniem: decyzja, działanie albo odłożenie z datą.</w:t>
      </w:r>
    </w:p>
    <w:p>
      <w:pPr>
        <w:pStyle w:val="ListBullet"/>
        <w:spacing w:after="40"/>
      </w:pPr>
      <w:r>
        <w:t>Kolizje i RFI przeglądamy z otwartego rejestru, nie z pamięci.</w:t>
      </w:r>
    </w:p>
    <w:p>
      <w:pPr>
        <w:pStyle w:val="ListBullet"/>
        <w:spacing w:after="40"/>
      </w:pPr>
      <w:r>
        <w:t>Ostatnie trzy minuty są na odczytanie decyzji i działań. To nie formalność, to moment, w którym wychodzą nieporozumienia.</w:t>
      </w:r>
    </w:p>
    <w:p>
      <w:pPr>
        <w:pStyle w:val="Heading2"/>
      </w:pPr>
      <w:r>
        <w:t>Czego tu nie robimy</w:t>
      </w:r>
    </w:p>
    <w:p>
      <w:pPr>
        <w:pStyle w:val="ListBullet"/>
        <w:spacing w:after="40"/>
      </w:pPr>
      <w:r>
        <w:t>Nie rozwiązujemy na forum szczegółów jednej kolizji. Wyznaczamy osobę i termin.</w:t>
      </w:r>
    </w:p>
    <w:p>
      <w:pPr>
        <w:pStyle w:val="ListBullet"/>
        <w:spacing w:after="40"/>
      </w:pPr>
      <w:r>
        <w:t>Nie omawiamy nowych tematów spoza zakresu spotkania. Trafiają do kolejnej agendy.</w:t>
      </w:r>
    </w:p>
    <w:p>
      <w:pPr>
        <w:pStyle w:val="ListBullet"/>
        <w:spacing w:after="40"/>
      </w:pPr>
      <w:r>
        <w:t>Nie wracamy do zamkniętych decyzji bez nowych danych. Nowe dane to nowy numer decyzji.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95959"/>
        <w:sz w:val="17"/>
      </w:rPr>
      <w:t xml:space="preserve">Produktywny Projektant, paczka szablonów W08, wersja 1   |   strona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95959"/>
        <w:sz w:val="17"/>
      </w:rPr>
      <w:t>Szablon: agenda spotkania koordynacyjnego, 60 minut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1F386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